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0" w:right="0" w:hanging="11.00000000000022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СОГЛАСОВАНО</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0" w:right="0" w:hanging="11.000000000000227"/>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0" w:right="0" w:hanging="11.00000000000022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Волховский городской прокурор</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0" w:right="0" w:hanging="11.00000000000022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0" w:right="0" w:hanging="11.00000000000022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старший советник юстиции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0" w:right="0" w:hanging="11.00000000000022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В.В. Иссаковский</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0" w:right="0" w:hanging="11.00000000000022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0" w:right="0" w:hanging="11.00000000000022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.08.2018г.</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40" w:right="0" w:hanging="11.00000000000022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40" w:right="0" w:hanging="11.00000000000022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11"/>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в СМИ</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Волховская городская прокуратура разъясняет, что 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Вместе с тем,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граждан в несанкционированных публичных мероприятиях (митингах, пикетах, шествиях) является административным правонарушением, предусмотренным ч. 6.1 ст. 20.2 КоАП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Санкция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Помощник Волховского городского прокурора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юрист 3 класса                                                                                 Д.Н. Савенкова</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