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b/>
          <w:bCs/>
          <w:sz w:val="30"/>
          <w:szCs w:val="30"/>
          <w:lang w:eastAsia="ru-RU"/>
        </w:rPr>
        <w:t>О выплате пенсии по случаю потери кормильца и повышенной фиксированной выплаты на иждивенцев в период академического отпуска.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положениями п. 1 ч. 2 ст. 10 Федерального закона от 28.12.2013 № 400-ФЗ к числу нетрудоспособных лиц, которым может быть назначена страховая пенсия по случаю потери кормильца, относятся, в частности, дети, братья, сестры и внуки умершего кормильца, обучающиеся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Также в соответствии с ч. 3 ст.17 Федерального закона от 28.12.2013 № 400-ФЗ лицам, у которых на иждивении находятся нетрудоспособные лица, обучающиеся по очной форме обучения в общеобразовательном учреждении, устанавливается повышение фиксированной выплаты к страховой пенсии.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Возможны ситуации, когда пенсия по случаю потери кормильца и повышенная фиксированная выплата на иждивенца выплачивается тогда, когда есть перерывы в обучении.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 по медицинским показаниям и в других исключительных случаях студентам образовательных учреждений предоставляется академический отпуск в порядке, установленном федеральным (центральным) органом управления образования. При этом отчисление студентов во время их болезни, академического отпуска или отпуска по беременности и родам не допускается. Таким образом, в период нахождения студента в академическом отпуске или отпуске по беременности и родам за ним сохраняется статус обучающегося, и следовательно, ему как учащемуся очной формы обучения, находящемуся в одном из указанных отпусков, выплата пенсии и повышенной фиксированной выплаты к страховой пенсии осуществляется в общеустановленном порядке.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Иначе обстоит вопрос в отношении обучающихся лиц, которым предоставлен академический отпуск, в связи с прохождением военной службы по призыву. Так как лица, проходящие военную службу по призыву, по правовому статусу являются военнослужащими и, следовательно, не могут считаться обучающимися в организациях, осуществляющих образовательную деятельность, право на пенсию и повышенную фиксированную выплату у них утрачивается.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000000" w:themeColor="text1"/>
          <w:sz w:val="30"/>
          <w:szCs w:val="30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highlight" w:customStyle="1">
    <w:name w:val="text-highlight"/>
    <w:basedOn w:val="DefaultParagraphFont"/>
    <w:qFormat/>
    <w:rsid w:val="00d66c20"/>
    <w:rPr/>
  </w:style>
  <w:style w:type="character" w:styleId="Style14">
    <w:name w:val="Выделение"/>
    <w:basedOn w:val="DefaultParagraphFont"/>
    <w:uiPriority w:val="20"/>
    <w:qFormat/>
    <w:rsid w:val="00d66c20"/>
    <w:rPr>
      <w:i/>
      <w:iCs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66c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2019-03-09T19:26:00Z</dcterms:created>
  <dc:creator>Андрей Иванов</dc:creator>
  <dc:language>ru-RU</dc:language>
  <dcterms:modified xsi:type="dcterms:W3CDTF">2019-03-19T16:27:20Z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